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3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782"/>
        <w:gridCol w:w="7911"/>
      </w:tblGrid>
      <w:tr w:rsidR="00AF68A8" w:rsidRPr="001D0927" w:rsidTr="00545622">
        <w:trPr>
          <w:trHeight w:val="703"/>
        </w:trPr>
        <w:tc>
          <w:tcPr>
            <w:tcW w:w="782" w:type="dxa"/>
          </w:tcPr>
          <w:p w:rsidR="00AF68A8" w:rsidRPr="001D0927" w:rsidRDefault="00AF68A8" w:rsidP="00545622">
            <w:pPr>
              <w:ind w:left="-1118"/>
              <w:rPr>
                <w:sz w:val="20"/>
                <w:lang w:val="es-ES"/>
              </w:rPr>
            </w:pPr>
            <w:r w:rsidRPr="001D0927"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29F4276E" wp14:editId="16995D70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127000</wp:posOffset>
                  </wp:positionV>
                  <wp:extent cx="325755" cy="365760"/>
                  <wp:effectExtent l="0" t="0" r="0" b="0"/>
                  <wp:wrapThrough wrapText="bothSides">
                    <wp:wrapPolygon edited="0">
                      <wp:start x="2526" y="0"/>
                      <wp:lineTo x="0" y="2250"/>
                      <wp:lineTo x="0" y="18000"/>
                      <wp:lineTo x="3789" y="20250"/>
                      <wp:lineTo x="16421" y="20250"/>
                      <wp:lineTo x="18947" y="18000"/>
                      <wp:lineTo x="20211" y="10125"/>
                      <wp:lineTo x="20211" y="2250"/>
                      <wp:lineTo x="17684" y="0"/>
                      <wp:lineTo x="2526" y="0"/>
                    </wp:wrapPolygon>
                  </wp:wrapThrough>
                  <wp:docPr id="68" name="Image 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 6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68A8" w:rsidRPr="001D0927" w:rsidRDefault="00AF68A8" w:rsidP="00545622">
            <w:pPr>
              <w:rPr>
                <w:sz w:val="20"/>
                <w:lang w:val="es-ES"/>
              </w:rPr>
            </w:pPr>
          </w:p>
        </w:tc>
        <w:tc>
          <w:tcPr>
            <w:tcW w:w="7911" w:type="dxa"/>
          </w:tcPr>
          <w:p w:rsidR="00AF68A8" w:rsidRDefault="00AF68A8" w:rsidP="00545622">
            <w:pPr>
              <w:rPr>
                <w:rFonts w:ascii="gobCL" w:hAnsi="gobCL"/>
                <w:b/>
                <w:sz w:val="20"/>
                <w:u w:val="single"/>
                <w:lang w:val="es-ES"/>
              </w:rPr>
            </w:pPr>
            <w:r w:rsidRPr="00FA0AEC">
              <w:rPr>
                <w:rFonts w:ascii="gobCL" w:hAnsi="gobCL"/>
                <w:b/>
                <w:sz w:val="20"/>
                <w:u w:val="single"/>
                <w:lang w:val="es-ES"/>
              </w:rPr>
              <w:t>IMPORTANTE</w:t>
            </w:r>
          </w:p>
          <w:p w:rsidR="00AF68A8" w:rsidRDefault="00AF68A8" w:rsidP="00545622">
            <w:pPr>
              <w:pStyle w:val="Prrafodelista"/>
              <w:numPr>
                <w:ilvl w:val="0"/>
                <w:numId w:val="1"/>
              </w:numPr>
              <w:rPr>
                <w:rFonts w:ascii="gobCL" w:hAnsi="gobCL"/>
                <w:sz w:val="20"/>
                <w:lang w:val="es-ES"/>
              </w:rPr>
            </w:pPr>
            <w:r w:rsidRPr="00FA0AEC">
              <w:rPr>
                <w:rFonts w:ascii="gobCL" w:hAnsi="gobCL"/>
                <w:sz w:val="20"/>
                <w:lang w:val="es-ES"/>
              </w:rPr>
              <w:t>Cuando su solicitud está en estado “Solicitan correcciones” o “Con alcances”, no pueden transcurrir más de 30 días para subsanar las observaciones. Una vez subsanadas las correcciones la solicitud pasara a estado “En Análisis” y se inicia el plazo de 20 días hábiles de cada solicitud.    Si transcurren  más de 30 días sin subsanar las observaciones, la solicitud se cerrará como suspendido y tendrá que abrir una nueva en la plataforma.</w:t>
            </w:r>
          </w:p>
          <w:p w:rsidR="00AF68A8" w:rsidRDefault="00AF68A8" w:rsidP="00545622">
            <w:pPr>
              <w:pStyle w:val="Prrafodelista"/>
              <w:ind w:left="360"/>
              <w:rPr>
                <w:rFonts w:ascii="gobCL" w:hAnsi="gobCL"/>
                <w:sz w:val="20"/>
                <w:lang w:val="es-ES"/>
              </w:rPr>
            </w:pPr>
          </w:p>
          <w:p w:rsidR="00AF68A8" w:rsidRPr="00FA0AEC" w:rsidRDefault="00AF68A8" w:rsidP="00545622">
            <w:pPr>
              <w:pStyle w:val="Prrafodelista"/>
              <w:numPr>
                <w:ilvl w:val="0"/>
                <w:numId w:val="1"/>
              </w:numPr>
              <w:rPr>
                <w:rFonts w:ascii="gobCL" w:hAnsi="gobCL"/>
                <w:sz w:val="20"/>
                <w:lang w:val="es-ES"/>
              </w:rPr>
            </w:pPr>
            <w:r w:rsidRPr="00FA0AEC">
              <w:rPr>
                <w:rFonts w:ascii="gobCL" w:hAnsi="gobCL"/>
                <w:sz w:val="20"/>
                <w:lang w:val="es-ES"/>
              </w:rPr>
              <w:t>La información que se adjunta y se s</w:t>
            </w:r>
            <w:r>
              <w:rPr>
                <w:rFonts w:ascii="gobCL" w:hAnsi="gobCL"/>
                <w:sz w:val="20"/>
                <w:lang w:val="es-ES"/>
              </w:rPr>
              <w:t xml:space="preserve">olicita deberá ser ingresada en </w:t>
            </w:r>
            <w:hyperlink r:id="rId6" w:history="1">
              <w:r w:rsidRPr="00475A53">
                <w:rPr>
                  <w:rStyle w:val="Hipervnculo"/>
                  <w:rFonts w:ascii="gobCL" w:hAnsi="gobCL"/>
                  <w:sz w:val="20"/>
                  <w:lang w:val="es-ES"/>
                </w:rPr>
                <w:t>https://www.mercadopublico.cl/Home</w:t>
              </w:r>
            </w:hyperlink>
          </w:p>
          <w:p w:rsidR="00AF68A8" w:rsidRPr="00FA0AEC" w:rsidRDefault="00AF68A8" w:rsidP="00545622">
            <w:pPr>
              <w:pStyle w:val="Prrafodelista"/>
              <w:ind w:left="360"/>
              <w:rPr>
                <w:rFonts w:ascii="gobCL" w:hAnsi="gobCL"/>
                <w:sz w:val="20"/>
                <w:lang w:val="es-ES"/>
              </w:rPr>
            </w:pPr>
          </w:p>
          <w:p w:rsidR="00AF68A8" w:rsidRDefault="00AF68A8" w:rsidP="00545622">
            <w:pPr>
              <w:pStyle w:val="Prrafodelista"/>
              <w:numPr>
                <w:ilvl w:val="0"/>
                <w:numId w:val="1"/>
              </w:numPr>
              <w:rPr>
                <w:rFonts w:ascii="gobCL" w:hAnsi="gobCL"/>
                <w:sz w:val="20"/>
                <w:lang w:val="es-ES"/>
              </w:rPr>
            </w:pPr>
            <w:r w:rsidRPr="00FA0AEC">
              <w:rPr>
                <w:rFonts w:ascii="gobCL" w:hAnsi="gobCL"/>
                <w:sz w:val="20"/>
                <w:lang w:val="es-ES"/>
              </w:rPr>
              <w:t xml:space="preserve">Se hace presente que todos los contratistas que presenten su solicitud de actualización en los meses de marzo y abril, deberán enviar al Registro su declaración de Impuesto a la Renta en el mes de mayo siguiente, </w:t>
            </w:r>
            <w:r w:rsidRPr="00FA0AEC">
              <w:rPr>
                <w:rFonts w:ascii="gobCL" w:hAnsi="gobCL"/>
                <w:b/>
                <w:sz w:val="20"/>
                <w:lang w:val="es-ES"/>
              </w:rPr>
              <w:t>en caso contrario quedarán suspendidos a contar del día 01 de junio del año correspondiente</w:t>
            </w:r>
            <w:r w:rsidRPr="00FA0AEC">
              <w:rPr>
                <w:rFonts w:ascii="gobCL" w:hAnsi="gobCL"/>
                <w:sz w:val="20"/>
                <w:lang w:val="es-ES"/>
              </w:rPr>
              <w:t>.</w:t>
            </w:r>
          </w:p>
          <w:p w:rsidR="00AF68A8" w:rsidRPr="00FA0AEC" w:rsidRDefault="00AF68A8" w:rsidP="00545622">
            <w:pPr>
              <w:pStyle w:val="Prrafodelista"/>
              <w:ind w:left="360"/>
              <w:rPr>
                <w:rFonts w:ascii="gobCL" w:hAnsi="gobCL"/>
                <w:sz w:val="20"/>
                <w:lang w:val="es-ES"/>
              </w:rPr>
            </w:pPr>
          </w:p>
          <w:p w:rsidR="00AF68A8" w:rsidRPr="00FA0AEC" w:rsidRDefault="00AF68A8" w:rsidP="00545622">
            <w:pPr>
              <w:pStyle w:val="Prrafodelista"/>
              <w:numPr>
                <w:ilvl w:val="0"/>
                <w:numId w:val="1"/>
              </w:numPr>
              <w:rPr>
                <w:rFonts w:ascii="gobCL" w:hAnsi="gobCL"/>
                <w:b/>
                <w:sz w:val="20"/>
                <w:lang w:val="es-ES"/>
              </w:rPr>
            </w:pPr>
            <w:r w:rsidRPr="00FA0AEC">
              <w:rPr>
                <w:rFonts w:ascii="gobCL" w:hAnsi="gobCL"/>
                <w:sz w:val="20"/>
                <w:lang w:val="es-ES"/>
              </w:rPr>
              <w:t xml:space="preserve">La no presentación de la solicitud de Actualización en el plazo correspondiente al igual que no dar respuesta a los alcances en el plazo de respuesta indicado, </w:t>
            </w:r>
            <w:r w:rsidRPr="00FA0AEC">
              <w:rPr>
                <w:rFonts w:ascii="gobCL" w:hAnsi="gobCL"/>
                <w:b/>
                <w:sz w:val="20"/>
                <w:lang w:val="es-ES"/>
              </w:rPr>
              <w:t>implica la suspensión automática del Registro respectivo (Artículo 15ª R.C.O.P.), suspensión que se mantendrá hasta que se presenten todos los antecedentes requeridos y se resuelva favorablemente el análisis de los mismos.</w:t>
            </w:r>
          </w:p>
          <w:p w:rsidR="00AF68A8" w:rsidRPr="00FA0AEC" w:rsidRDefault="00AF68A8" w:rsidP="00545622">
            <w:pPr>
              <w:pStyle w:val="Prrafodelista"/>
              <w:ind w:left="360"/>
              <w:rPr>
                <w:rFonts w:ascii="gobCL" w:hAnsi="gobCL"/>
                <w:b/>
                <w:sz w:val="20"/>
                <w:lang w:val="es-ES"/>
              </w:rPr>
            </w:pPr>
          </w:p>
          <w:p w:rsidR="00AF68A8" w:rsidRPr="00194E60" w:rsidRDefault="00AF68A8" w:rsidP="00545622">
            <w:pPr>
              <w:pStyle w:val="Prrafodelista"/>
              <w:numPr>
                <w:ilvl w:val="0"/>
                <w:numId w:val="1"/>
              </w:numPr>
              <w:rPr>
                <w:rFonts w:ascii="gobCL" w:hAnsi="gobCL"/>
                <w:sz w:val="20"/>
                <w:lang w:val="es-ES"/>
              </w:rPr>
            </w:pPr>
            <w:r w:rsidRPr="00FA0AEC">
              <w:rPr>
                <w:rFonts w:ascii="gobCL" w:hAnsi="gobCL"/>
                <w:sz w:val="20"/>
                <w:lang w:val="es-ES"/>
              </w:rPr>
              <w:t xml:space="preserve">Los contratistas deberán comunicar oficialmente al Registro, dentro de un plazo de 30 días de ocurrido, los cambios producidos en su constitución legal, en su experiencia acumulada, o en la constitución o aporte de experiencia de su Equipo Gestor, según se indica en los artículos 22º y 42º del Reglamento; </w:t>
            </w:r>
            <w:r w:rsidRPr="00FA0AEC">
              <w:rPr>
                <w:rFonts w:ascii="gobCL" w:hAnsi="gobCL"/>
                <w:b/>
                <w:sz w:val="20"/>
                <w:lang w:val="es-ES"/>
              </w:rPr>
              <w:t>el no cumplimiento de lo anterior será sancionado de acuerdo a lo establecido en el artículo 45º de dicho Reglamento</w:t>
            </w:r>
            <w:r w:rsidRPr="00FA0AEC">
              <w:rPr>
                <w:rFonts w:ascii="gobCL" w:hAnsi="gobCL"/>
                <w:sz w:val="20"/>
                <w:lang w:val="es-ES"/>
              </w:rPr>
              <w:t>.</w:t>
            </w:r>
          </w:p>
        </w:tc>
      </w:tr>
    </w:tbl>
    <w:p w:rsidR="00D6175B" w:rsidRDefault="00D6175B">
      <w:bookmarkStart w:id="0" w:name="_GoBack"/>
      <w:bookmarkEnd w:id="0"/>
    </w:p>
    <w:sectPr w:rsidR="00D617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bCL">
    <w:panose1 w:val="00000000000000000000"/>
    <w:charset w:val="00"/>
    <w:family w:val="modern"/>
    <w:notTrueType/>
    <w:pitch w:val="variable"/>
    <w:sig w:usb0="20000007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32D7A"/>
    <w:multiLevelType w:val="hybridMultilevel"/>
    <w:tmpl w:val="CEF6511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8A8"/>
    <w:rsid w:val="0061074F"/>
    <w:rsid w:val="00AF68A8"/>
    <w:rsid w:val="00D6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722AD-75BA-4F44-9B56-FB131D3D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8A8"/>
    <w:pPr>
      <w:spacing w:after="200" w:line="276" w:lineRule="auto"/>
    </w:pPr>
    <w:rPr>
      <w:rFonts w:eastAsiaTheme="minorEastAsia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F68A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F6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ercadopublico.cl/Hom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Tapia Aguilar (DGOP)</dc:creator>
  <cp:keywords/>
  <dc:description/>
  <cp:lastModifiedBy>Paola Tapia Aguilar (DGOP)</cp:lastModifiedBy>
  <cp:revision>1</cp:revision>
  <dcterms:created xsi:type="dcterms:W3CDTF">2025-03-28T15:12:00Z</dcterms:created>
  <dcterms:modified xsi:type="dcterms:W3CDTF">2025-03-28T19:27:00Z</dcterms:modified>
</cp:coreProperties>
</file>